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sz w:val="2"/>
          <w:szCs w:val="2"/>
        </w:rPr>
      </w:pPr>
      <w:r w:rsidDel="00000000" w:rsidR="00000000" w:rsidRPr="00000000">
        <w:rPr>
          <w:rtl w:val="0"/>
        </w:rPr>
      </w:r>
    </w:p>
    <w:tbl>
      <w:tblPr>
        <w:tblStyle w:val="Table1"/>
        <w:tblW w:w="105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1050"/>
        <w:gridCol w:w="8745"/>
        <w:tblGridChange w:id="0">
          <w:tblGrid>
            <w:gridCol w:w="765"/>
            <w:gridCol w:w="1050"/>
            <w:gridCol w:w="8745"/>
          </w:tblGrid>
        </w:tblGridChange>
      </w:tblGrid>
      <w:tr>
        <w:trPr>
          <w:trHeight w:val="200" w:hRule="atLeast"/>
        </w:trPr>
        <w:tc>
          <w:tcPr>
            <w:tcBorders>
              <w:top w:color="000000" w:space="0" w:sz="8" w:val="single"/>
              <w:left w:color="000000" w:space="0" w:sz="8" w:val="single"/>
              <w:bottom w:color="000000" w:space="0" w:sz="8" w:val="single"/>
              <w:right w:color="000000" w:space="0" w:sz="8" w:val="single"/>
            </w:tcBorders>
            <w:shd w:fill="8db3e2" w:val="clear"/>
            <w:tcMar>
              <w:top w:w="100.0" w:type="dxa"/>
              <w:left w:w="100.0" w:type="dxa"/>
              <w:bottom w:w="100.0" w:type="dxa"/>
              <w:right w:w="100.0" w:type="dxa"/>
            </w:tcMar>
            <w:vAlign w:val="top"/>
          </w:tcPr>
          <w:p w:rsidR="00000000" w:rsidDel="00000000" w:rsidP="00000000" w:rsidRDefault="00000000" w:rsidRPr="00000000" w14:paraId="00000002">
            <w:pPr>
              <w:spacing w:after="0" w:before="0" w:line="240" w:lineRule="auto"/>
              <w:ind w:left="0" w:right="-135" w:firstLine="0"/>
              <w:jc w:val="center"/>
              <w:rPr>
                <w:rFonts w:ascii="Arial" w:cs="Arial" w:eastAsia="Arial" w:hAnsi="Arial"/>
                <w:b w:val="1"/>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8db3e2" w:val="clear"/>
            <w:tcMar>
              <w:top w:w="100.0" w:type="dxa"/>
              <w:left w:w="100.0" w:type="dxa"/>
              <w:bottom w:w="100.0" w:type="dxa"/>
              <w:right w:w="100.0" w:type="dxa"/>
            </w:tcMar>
            <w:vAlign w:val="top"/>
          </w:tcPr>
          <w:p w:rsidR="00000000" w:rsidDel="00000000" w:rsidP="00000000" w:rsidRDefault="00000000" w:rsidRPr="00000000" w14:paraId="00000003">
            <w:pPr>
              <w:spacing w:after="0" w:before="0" w:line="240" w:lineRule="auto"/>
              <w:ind w:left="0" w:right="-135"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Skill</w:t>
            </w:r>
          </w:p>
        </w:tc>
        <w:tc>
          <w:tcPr>
            <w:tcBorders>
              <w:top w:color="000000" w:space="0" w:sz="8" w:val="single"/>
              <w:left w:color="000000" w:space="0" w:sz="0" w:val="nil"/>
              <w:bottom w:color="000000" w:space="0" w:sz="8" w:val="single"/>
              <w:right w:color="000000" w:space="0" w:sz="8" w:val="single"/>
            </w:tcBorders>
            <w:shd w:fill="8db3e2" w:val="clear"/>
            <w:tcMar>
              <w:top w:w="100.0" w:type="dxa"/>
              <w:left w:w="100.0" w:type="dxa"/>
              <w:bottom w:w="100.0" w:type="dxa"/>
              <w:right w:w="100.0" w:type="dxa"/>
            </w:tcMar>
            <w:vAlign w:val="top"/>
          </w:tcPr>
          <w:p w:rsidR="00000000" w:rsidDel="00000000" w:rsidP="00000000" w:rsidRDefault="00000000" w:rsidRPr="00000000" w14:paraId="00000004">
            <w:pPr>
              <w:spacing w:after="0" w:before="0" w:line="240" w:lineRule="auto"/>
              <w:ind w:left="0" w:right="-135"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Objective</w:t>
            </w:r>
          </w:p>
        </w:tc>
      </w:tr>
      <w:tr>
        <w:trPr>
          <w:trHeight w:val="34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after="0" w:before="0" w:line="240" w:lineRule="auto"/>
              <w:ind w:left="140" w:right="14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after="0" w:before="0" w:line="240" w:lineRule="auto"/>
              <w:ind w:left="140" w:right="140"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V</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after="0" w:before="0" w:line="240" w:lineRule="auto"/>
              <w:ind w:left="14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work out the meaning of unknown words and phrases by relating to known vocabulary as well as from the way they are used in context.</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spacing w:after="0" w:before="0" w:line="240" w:lineRule="auto"/>
              <w:ind w:left="140" w:right="14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after="0" w:before="0" w:line="240" w:lineRule="auto"/>
              <w:ind w:left="140" w:right="140"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Read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after="0" w:before="0" w:line="240" w:lineRule="auto"/>
              <w:ind w:left="14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read aloud with pace, fluency and expression, taking punctuation, presentation and author’s intent into account.</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after="0" w:before="0" w:line="240" w:lineRule="auto"/>
              <w:ind w:left="140" w:right="14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after="0" w:before="0" w:line="240" w:lineRule="auto"/>
              <w:ind w:left="140" w:right="140"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after="0" w:before="0" w:line="240" w:lineRule="auto"/>
              <w:ind w:left="14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confidently skim and scan non-fiction texts to speed up research.</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after="0" w:before="0" w:line="240" w:lineRule="auto"/>
              <w:ind w:left="140" w:right="14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after="0" w:before="0" w:line="240" w:lineRule="auto"/>
              <w:ind w:left="140" w:right="140"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R, I, 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spacing w:after="0" w:before="0" w:line="240" w:lineRule="auto"/>
              <w:ind w:left="14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refer back to the text to support predictions, thoughts and opinions, being able to elaborate in order to provide reasoned justifications.</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after="0" w:before="0" w:line="240" w:lineRule="auto"/>
              <w:ind w:left="140" w:right="14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after="0" w:before="0" w:line="240" w:lineRule="auto"/>
              <w:ind w:left="140" w:right="140"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after="0" w:before="0" w:line="240" w:lineRule="auto"/>
              <w:ind w:left="14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recognise text features within mixed-genre texts.</w:t>
            </w:r>
            <w:r w:rsidDel="00000000" w:rsidR="00000000" w:rsidRPr="00000000">
              <w:rPr>
                <w:rtl w:val="0"/>
              </w:rPr>
            </w:r>
          </w:p>
        </w:tc>
      </w:tr>
      <w:tr>
        <w:trPr>
          <w:trHeight w:val="1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after="0" w:before="0" w:line="240" w:lineRule="auto"/>
              <w:ind w:left="140" w:right="14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after="0" w:before="0" w:line="240" w:lineRule="auto"/>
              <w:ind w:left="140" w:right="140"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after="0" w:before="0" w:line="240" w:lineRule="auto"/>
              <w:ind w:left="140" w:right="140" w:firstLine="0"/>
              <w:rPr>
                <w:rFonts w:ascii="Arial" w:cs="Arial" w:eastAsia="Arial" w:hAnsi="Arial"/>
                <w:sz w:val="16"/>
                <w:szCs w:val="16"/>
              </w:rPr>
            </w:pPr>
            <w:r w:rsidDel="00000000" w:rsidR="00000000" w:rsidRPr="00000000">
              <w:rPr>
                <w:rFonts w:ascii="Arial" w:cs="Arial" w:eastAsia="Arial" w:hAnsi="Arial"/>
                <w:sz w:val="18"/>
                <w:szCs w:val="18"/>
                <w:rtl w:val="0"/>
              </w:rPr>
              <w:t xml:space="preserve">Can identify and discuss features of fiction genres </w:t>
            </w:r>
            <w:r w:rsidDel="00000000" w:rsidR="00000000" w:rsidRPr="00000000">
              <w:rPr>
                <w:rFonts w:ascii="Arial" w:cs="Arial" w:eastAsia="Arial" w:hAnsi="Arial"/>
                <w:sz w:val="16"/>
                <w:szCs w:val="16"/>
                <w:rtl w:val="0"/>
              </w:rPr>
              <w:t xml:space="preserve">(e.g. science-fiction, adventure, mystery etc.).</w:t>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after="0" w:before="0" w:line="240" w:lineRule="auto"/>
              <w:ind w:left="140" w:right="14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after="0" w:before="0" w:line="240" w:lineRule="auto"/>
              <w:ind w:left="140" w:right="140"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after="0" w:before="0" w:line="240" w:lineRule="auto"/>
              <w:ind w:left="14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identify the point of view of some texts and how this impacts on the reader.</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after="0" w:before="0" w:line="240" w:lineRule="auto"/>
              <w:ind w:left="140" w:right="14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after="0" w:before="0" w:line="240" w:lineRule="auto"/>
              <w:ind w:left="140" w:right="140"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after="0" w:before="0" w:line="240" w:lineRule="auto"/>
              <w:ind w:left="14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summarise information from different points in the same text or across a range of texts.</w:t>
            </w:r>
            <w:r w:rsidDel="00000000" w:rsidR="00000000" w:rsidRPr="00000000">
              <w:rPr>
                <w:rtl w:val="0"/>
              </w:rPr>
            </w:r>
          </w:p>
        </w:tc>
      </w:tr>
      <w:tr>
        <w:trPr>
          <w:trHeight w:val="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after="0" w:before="0" w:line="240" w:lineRule="auto"/>
              <w:ind w:left="140" w:right="14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after="0" w:before="0" w:line="240" w:lineRule="auto"/>
              <w:ind w:left="140" w:right="140"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after="0" w:before="0" w:line="240" w:lineRule="auto"/>
              <w:ind w:left="14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clearly identify and retrieve relevant points and key ideas from different points in a text and across a range of texts.</w:t>
            </w:r>
            <w:r w:rsidDel="00000000" w:rsidR="00000000" w:rsidRPr="00000000">
              <w:rPr>
                <w:rtl w:val="0"/>
              </w:rPr>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after="0" w:before="0" w:line="240" w:lineRule="auto"/>
              <w:ind w:left="140" w:right="14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after="0" w:before="0" w:line="240" w:lineRule="auto"/>
              <w:ind w:left="140" w:right="140"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R, 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after="0" w:before="0" w:line="240" w:lineRule="auto"/>
              <w:ind w:left="14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use quotations and text references to support ideas and arguments.</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after="0" w:before="0" w:line="240" w:lineRule="auto"/>
              <w:ind w:left="140" w:right="14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after="0" w:before="0" w:line="240" w:lineRule="auto"/>
              <w:ind w:left="140" w:right="140"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after="0" w:before="0" w:line="240" w:lineRule="auto"/>
              <w:ind w:left="14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explain a character’s motives throughout a text and use evidence from the text to back up opinions.</w:t>
            </w:r>
          </w:p>
        </w:tc>
      </w:tr>
      <w:tr>
        <w:trPr>
          <w:trHeight w:val="3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after="0" w:before="0" w:line="240" w:lineRule="auto"/>
              <w:ind w:left="140" w:right="14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after="0" w:before="0" w:line="240" w:lineRule="auto"/>
              <w:ind w:left="140" w:right="140"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after="0" w:before="0" w:line="240" w:lineRule="auto"/>
              <w:ind w:left="14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confidently infer and deduce meaning based on evidence drawn from different points in the text and wider experiences.</w:t>
            </w: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after="0" w:before="0" w:line="240" w:lineRule="auto"/>
              <w:ind w:left="140" w:right="14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after="0" w:before="0" w:line="240" w:lineRule="auto"/>
              <w:ind w:left="140" w:right="140"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0" w:before="0" w:line="240" w:lineRule="auto"/>
              <w:ind w:left="14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recognise which character the writer wants the reader to like or dislike.</w:t>
            </w:r>
            <w:r w:rsidDel="00000000" w:rsidR="00000000" w:rsidRPr="00000000">
              <w:rPr>
                <w:rtl w:val="0"/>
              </w:rPr>
            </w:r>
          </w:p>
        </w:tc>
      </w:tr>
      <w:tr>
        <w:trPr>
          <w:trHeight w:val="3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after="0" w:before="0" w:line="240" w:lineRule="auto"/>
              <w:ind w:left="140" w:right="14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after="0" w:before="0" w:line="240" w:lineRule="auto"/>
              <w:ind w:left="140" w:right="140"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0" w:before="0" w:line="240" w:lineRule="auto"/>
              <w:ind w:left="14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identify and discuss implicit and explicit points of view in texts, referring back to the text to support thoughts and ideas.</w:t>
            </w:r>
            <w:r w:rsidDel="00000000" w:rsidR="00000000" w:rsidRPr="00000000">
              <w:rPr>
                <w:rtl w:val="0"/>
              </w:rPr>
            </w:r>
          </w:p>
        </w:tc>
      </w:tr>
      <w:tr>
        <w:trPr>
          <w:trHeight w:val="1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0" w:before="0" w:line="240" w:lineRule="auto"/>
              <w:ind w:left="140" w:right="14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after="0" w:before="0" w:line="240" w:lineRule="auto"/>
              <w:ind w:left="140" w:right="140"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after="0" w:before="0" w:line="240" w:lineRule="auto"/>
              <w:ind w:left="14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comment on the success of a text providing evidence that refers to language, theme and style.</w:t>
            </w:r>
            <w:r w:rsidDel="00000000" w:rsidR="00000000" w:rsidRPr="00000000">
              <w:rPr>
                <w:rtl w:val="0"/>
              </w:rPr>
            </w:r>
          </w:p>
        </w:tc>
      </w:tr>
      <w:tr>
        <w:trPr>
          <w:trHeight w:val="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0" w:before="0" w:line="240" w:lineRule="auto"/>
              <w:ind w:left="140" w:right="14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after="0" w:before="0" w:line="240" w:lineRule="auto"/>
              <w:ind w:left="140" w:right="140"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0" w:before="0" w:line="240" w:lineRule="auto"/>
              <w:ind w:left="140" w:right="140" w:firstLine="0"/>
              <w:rPr>
                <w:rFonts w:ascii="Arial" w:cs="Arial" w:eastAsia="Arial" w:hAnsi="Arial"/>
                <w:sz w:val="16"/>
                <w:szCs w:val="16"/>
              </w:rPr>
            </w:pPr>
            <w:r w:rsidDel="00000000" w:rsidR="00000000" w:rsidRPr="00000000">
              <w:rPr>
                <w:rFonts w:ascii="Arial" w:cs="Arial" w:eastAsia="Arial" w:hAnsi="Arial"/>
                <w:sz w:val="18"/>
                <w:szCs w:val="18"/>
                <w:rtl w:val="0"/>
              </w:rPr>
              <w:t xml:space="preserve">Can recognise the use of irony and comment on the writer’s intention </w:t>
            </w:r>
            <w:r w:rsidDel="00000000" w:rsidR="00000000" w:rsidRPr="00000000">
              <w:rPr>
                <w:rFonts w:ascii="Arial" w:cs="Arial" w:eastAsia="Arial" w:hAnsi="Arial"/>
                <w:sz w:val="16"/>
                <w:szCs w:val="16"/>
                <w:rtl w:val="0"/>
              </w:rPr>
              <w:t xml:space="preserve">(e.g. sarcasm, insincerity, mockery).</w:t>
            </w:r>
          </w:p>
        </w:tc>
      </w:tr>
      <w:tr>
        <w:trPr>
          <w:trHeight w:val="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after="0" w:before="0" w:line="240" w:lineRule="auto"/>
              <w:ind w:left="140" w:right="14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after="0" w:before="0" w:line="240" w:lineRule="auto"/>
              <w:ind w:left="140" w:right="140"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0" w:before="0" w:line="240" w:lineRule="auto"/>
              <w:ind w:left="140" w:right="140" w:firstLine="0"/>
              <w:rPr>
                <w:rFonts w:ascii="Arial" w:cs="Arial" w:eastAsia="Arial" w:hAnsi="Arial"/>
                <w:sz w:val="16"/>
                <w:szCs w:val="16"/>
              </w:rPr>
            </w:pPr>
            <w:r w:rsidDel="00000000" w:rsidR="00000000" w:rsidRPr="00000000">
              <w:rPr>
                <w:rFonts w:ascii="Arial" w:cs="Arial" w:eastAsia="Arial" w:hAnsi="Arial"/>
                <w:sz w:val="18"/>
                <w:szCs w:val="18"/>
                <w:rtl w:val="0"/>
              </w:rPr>
              <w:t xml:space="preserve">Can reflect on the wider consequences or significance of information, ideas or events in the text as a whole </w:t>
            </w:r>
            <w:r w:rsidDel="00000000" w:rsidR="00000000" w:rsidRPr="00000000">
              <w:rPr>
                <w:rFonts w:ascii="Arial" w:cs="Arial" w:eastAsia="Arial" w:hAnsi="Arial"/>
                <w:sz w:val="16"/>
                <w:szCs w:val="16"/>
                <w:rtl w:val="0"/>
              </w:rPr>
              <w:t xml:space="preserve">(e.g. how one small incident altered the whole course of the story).</w:t>
            </w:r>
          </w:p>
        </w:tc>
      </w:tr>
      <w:tr>
        <w:trPr>
          <w:trHeight w:val="39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0" w:before="0" w:line="240" w:lineRule="auto"/>
              <w:ind w:left="140" w:right="14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0" w:before="0" w:line="240" w:lineRule="auto"/>
              <w:ind w:left="140" w:right="140"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R, I, 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0" w:before="0" w:line="240" w:lineRule="auto"/>
              <w:ind w:left="14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investigate texts to confirm and justify reasoned predictions and opinions.</w:t>
            </w:r>
            <w:r w:rsidDel="00000000" w:rsidR="00000000" w:rsidRPr="00000000">
              <w:rPr>
                <w:rtl w:val="0"/>
              </w:rPr>
            </w:r>
          </w:p>
        </w:tc>
      </w:tr>
      <w:tr>
        <w:trPr>
          <w:trHeight w:val="2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0" w:before="0" w:line="240" w:lineRule="auto"/>
              <w:ind w:left="140" w:right="14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0" w:before="0" w:line="240" w:lineRule="auto"/>
              <w:ind w:left="140" w:right="140"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0" w:before="0" w:line="240" w:lineRule="auto"/>
              <w:ind w:left="140" w:right="140" w:firstLine="0"/>
              <w:rPr>
                <w:rFonts w:ascii="Arial" w:cs="Arial" w:eastAsia="Arial" w:hAnsi="Arial"/>
                <w:sz w:val="16"/>
                <w:szCs w:val="16"/>
              </w:rPr>
            </w:pPr>
            <w:r w:rsidDel="00000000" w:rsidR="00000000" w:rsidRPr="00000000">
              <w:rPr>
                <w:rFonts w:ascii="Arial" w:cs="Arial" w:eastAsia="Arial" w:hAnsi="Arial"/>
                <w:sz w:val="18"/>
                <w:szCs w:val="18"/>
                <w:rtl w:val="0"/>
              </w:rPr>
              <w:t xml:space="preserve">Can explain how the structural choices support the writers theme or purpose </w:t>
            </w:r>
            <w:r w:rsidDel="00000000" w:rsidR="00000000" w:rsidRPr="00000000">
              <w:rPr>
                <w:rFonts w:ascii="Arial" w:cs="Arial" w:eastAsia="Arial" w:hAnsi="Arial"/>
                <w:sz w:val="16"/>
                <w:szCs w:val="16"/>
                <w:rtl w:val="0"/>
              </w:rPr>
              <w:t xml:space="preserve">(e.g. in fiction, decisions about the plot structure, character development or flash backs/flash forwards; in non-fiction, looking at how a writer organises information so that the reader can compare/contrast ideas, and devices and decisions the writer has made in multi-genre texts).</w:t>
            </w:r>
          </w:p>
        </w:tc>
      </w:tr>
      <w:tr>
        <w:trPr>
          <w:trHeight w:val="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after="0" w:before="0" w:line="240" w:lineRule="auto"/>
              <w:ind w:left="140" w:right="14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after="0" w:before="0" w:line="240" w:lineRule="auto"/>
              <w:ind w:left="140" w:right="140"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0" w:before="0" w:line="240" w:lineRule="auto"/>
              <w:ind w:left="14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evaluate relationships between characters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8"/>
                <w:szCs w:val="18"/>
                <w:rtl w:val="0"/>
              </w:rPr>
              <w:t xml:space="preserve">referring back to the text to support thoughts and judgements.</w:t>
            </w:r>
            <w:r w:rsidDel="00000000" w:rsidR="00000000" w:rsidRPr="00000000">
              <w:rPr>
                <w:rtl w:val="0"/>
              </w:rPr>
            </w:r>
          </w:p>
        </w:tc>
      </w:tr>
      <w:tr>
        <w:trPr>
          <w:trHeight w:val="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after="0" w:before="0" w:line="240" w:lineRule="auto"/>
              <w:ind w:left="140" w:right="14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0" w:before="0" w:line="240" w:lineRule="auto"/>
              <w:ind w:left="140" w:right="140"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after="0" w:before="0" w:line="240" w:lineRule="auto"/>
              <w:ind w:left="14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explain how the author has used different language features.</w:t>
            </w:r>
          </w:p>
        </w:tc>
      </w:tr>
      <w:tr>
        <w:trPr>
          <w:trHeight w:val="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0" w:before="0" w:line="240" w:lineRule="auto"/>
              <w:ind w:left="140" w:right="14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after="0" w:before="0" w:line="240" w:lineRule="auto"/>
              <w:ind w:left="140" w:right="140"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0" w:before="0" w:line="240" w:lineRule="auto"/>
              <w:ind w:left="140" w:right="140" w:firstLine="0"/>
              <w:rPr>
                <w:rFonts w:ascii="Arial" w:cs="Arial" w:eastAsia="Arial" w:hAnsi="Arial"/>
                <w:sz w:val="16"/>
                <w:szCs w:val="16"/>
              </w:rPr>
            </w:pPr>
            <w:r w:rsidDel="00000000" w:rsidR="00000000" w:rsidRPr="00000000">
              <w:rPr>
                <w:rFonts w:ascii="Arial" w:cs="Arial" w:eastAsia="Arial" w:hAnsi="Arial"/>
                <w:sz w:val="18"/>
                <w:szCs w:val="18"/>
                <w:rtl w:val="0"/>
              </w:rPr>
              <w:t xml:space="preserve">Can unpick the details of the different layers of meaning in texts </w:t>
            </w:r>
            <w:r w:rsidDel="00000000" w:rsidR="00000000" w:rsidRPr="00000000">
              <w:rPr>
                <w:rtl w:val="0"/>
              </w:rPr>
            </w:r>
          </w:p>
        </w:tc>
      </w:tr>
    </w:tbl>
    <w:p w:rsidR="00000000" w:rsidDel="00000000" w:rsidP="00000000" w:rsidRDefault="00000000" w:rsidRPr="00000000" w14:paraId="00000047">
      <w:pPr>
        <w:widowControl w:val="0"/>
        <w:spacing w:after="0" w:line="276" w:lineRule="auto"/>
        <w:rPr>
          <w:rFonts w:ascii="Arial" w:cs="Arial" w:eastAsia="Arial" w:hAnsi="Arial"/>
          <w:sz w:val="2"/>
          <w:szCs w:val="2"/>
        </w:rPr>
      </w:pPr>
      <w:r w:rsidDel="00000000" w:rsidR="00000000" w:rsidRPr="00000000">
        <w:rPr>
          <w:rtl w:val="0"/>
        </w:rPr>
      </w:r>
    </w:p>
    <w:tbl>
      <w:tblPr>
        <w:tblStyle w:val="Table2"/>
        <w:tblW w:w="10590.0" w:type="dxa"/>
        <w:jc w:val="left"/>
        <w:tblInd w:w="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0"/>
        <w:gridCol w:w="1080"/>
        <w:gridCol w:w="1890"/>
        <w:gridCol w:w="345"/>
        <w:gridCol w:w="345"/>
        <w:gridCol w:w="195"/>
        <w:gridCol w:w="150"/>
        <w:gridCol w:w="345"/>
        <w:gridCol w:w="345"/>
        <w:gridCol w:w="345"/>
        <w:gridCol w:w="345"/>
        <w:gridCol w:w="345"/>
        <w:gridCol w:w="345"/>
        <w:gridCol w:w="345"/>
        <w:gridCol w:w="345"/>
        <w:gridCol w:w="285"/>
        <w:tblGridChange w:id="0">
          <w:tblGrid>
            <w:gridCol w:w="3540"/>
            <w:gridCol w:w="1080"/>
            <w:gridCol w:w="1890"/>
            <w:gridCol w:w="345"/>
            <w:gridCol w:w="345"/>
            <w:gridCol w:w="195"/>
            <w:gridCol w:w="150"/>
            <w:gridCol w:w="345"/>
            <w:gridCol w:w="345"/>
            <w:gridCol w:w="345"/>
            <w:gridCol w:w="345"/>
            <w:gridCol w:w="345"/>
            <w:gridCol w:w="345"/>
            <w:gridCol w:w="345"/>
            <w:gridCol w:w="345"/>
            <w:gridCol w:w="285"/>
          </w:tblGrid>
        </w:tblGridChange>
      </w:tblGrid>
      <w:tr>
        <w:trPr>
          <w:trHeight w:val="360" w:hRule="atLeast"/>
        </w:trPr>
        <w:tc>
          <w:tcPr>
            <w:shd w:fill="00b0f0" w:val="clear"/>
            <w:vAlign w:val="center"/>
          </w:tcPr>
          <w:p w:rsidR="00000000" w:rsidDel="00000000" w:rsidP="00000000" w:rsidRDefault="00000000" w:rsidRPr="00000000" w14:paraId="00000048">
            <w:pPr>
              <w:spacing w:after="0"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AUTUMN</w:t>
            </w:r>
          </w:p>
        </w:tc>
        <w:tc>
          <w:tcPr>
            <w:gridSpan w:val="5"/>
            <w:shd w:fill="00b050" w:val="clear"/>
            <w:vAlign w:val="center"/>
          </w:tcPr>
          <w:p w:rsidR="00000000" w:rsidDel="00000000" w:rsidP="00000000" w:rsidRDefault="00000000" w:rsidRPr="00000000" w14:paraId="00000049">
            <w:pPr>
              <w:spacing w:after="0"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SPRING</w:t>
            </w:r>
          </w:p>
        </w:tc>
        <w:tc>
          <w:tcPr>
            <w:gridSpan w:val="10"/>
            <w:shd w:fill="ff0066" w:val="clear"/>
            <w:vAlign w:val="center"/>
          </w:tcPr>
          <w:p w:rsidR="00000000" w:rsidDel="00000000" w:rsidP="00000000" w:rsidRDefault="00000000" w:rsidRPr="00000000" w14:paraId="0000004E">
            <w:pPr>
              <w:spacing w:after="0"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SUMMER</w:t>
            </w:r>
          </w:p>
        </w:tc>
      </w:tr>
    </w:tbl>
    <w:p w:rsidR="00000000" w:rsidDel="00000000" w:rsidP="00000000" w:rsidRDefault="00000000" w:rsidRPr="00000000" w14:paraId="00000058">
      <w:pPr>
        <w:tabs>
          <w:tab w:val="left" w:pos="8700"/>
        </w:tabs>
        <w:rPr>
          <w:sz w:val="4"/>
          <w:szCs w:val="4"/>
        </w:rPr>
      </w:pPr>
      <w:r w:rsidDel="00000000" w:rsidR="00000000" w:rsidRPr="00000000">
        <w:rPr>
          <w:rtl w:val="0"/>
        </w:rPr>
      </w:r>
    </w:p>
    <w:tbl>
      <w:tblPr>
        <w:tblStyle w:val="Table3"/>
        <w:tblW w:w="107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5"/>
        <w:gridCol w:w="2400"/>
        <w:gridCol w:w="2505"/>
        <w:gridCol w:w="2130"/>
        <w:gridCol w:w="2220"/>
        <w:tblGridChange w:id="0">
          <w:tblGrid>
            <w:gridCol w:w="1455"/>
            <w:gridCol w:w="2400"/>
            <w:gridCol w:w="2505"/>
            <w:gridCol w:w="2130"/>
            <w:gridCol w:w="2220"/>
          </w:tblGrid>
        </w:tblGridChange>
      </w:tblGrid>
      <w:tr>
        <w:trPr>
          <w:trHeight w:val="460" w:hRule="atLeast"/>
        </w:trPr>
        <w:tc>
          <w:tcPr>
            <w:shd w:fill="ffff99" w:val="clear"/>
            <w:vAlign w:val="center"/>
          </w:tcPr>
          <w:p w:rsidR="00000000" w:rsidDel="00000000" w:rsidP="00000000" w:rsidRDefault="00000000" w:rsidRPr="00000000" w14:paraId="00000059">
            <w:pPr>
              <w:spacing w:after="0" w:line="240" w:lineRule="auto"/>
              <w:rPr>
                <w:rFonts w:ascii="Twinkl" w:cs="Twinkl" w:eastAsia="Twinkl" w:hAnsi="Twinkl"/>
                <w:b w:val="1"/>
              </w:rPr>
            </w:pPr>
            <w:r w:rsidDel="00000000" w:rsidR="00000000" w:rsidRPr="00000000">
              <w:rPr>
                <w:rtl w:val="0"/>
              </w:rPr>
            </w:r>
          </w:p>
        </w:tc>
        <w:tc>
          <w:tcPr>
            <w:shd w:fill="ffff99" w:val="clear"/>
            <w:vAlign w:val="center"/>
          </w:tcPr>
          <w:p w:rsidR="00000000" w:rsidDel="00000000" w:rsidP="00000000" w:rsidRDefault="00000000" w:rsidRPr="00000000" w14:paraId="0000005A">
            <w:pPr>
              <w:spacing w:after="0" w:line="240" w:lineRule="auto"/>
              <w:jc w:val="center"/>
              <w:rPr>
                <w:rFonts w:ascii="Twinkl" w:cs="Twinkl" w:eastAsia="Twinkl" w:hAnsi="Twinkl"/>
                <w:b w:val="1"/>
              </w:rPr>
            </w:pPr>
            <w:r w:rsidDel="00000000" w:rsidR="00000000" w:rsidRPr="00000000">
              <w:rPr>
                <w:rFonts w:ascii="Twinkl" w:cs="Twinkl" w:eastAsia="Twinkl" w:hAnsi="Twinkl"/>
                <w:b w:val="1"/>
                <w:rtl w:val="0"/>
              </w:rPr>
              <w:t xml:space="preserve">End of previous year assessment</w:t>
            </w:r>
          </w:p>
        </w:tc>
        <w:tc>
          <w:tcPr>
            <w:shd w:fill="ffff99" w:val="clear"/>
            <w:vAlign w:val="center"/>
          </w:tcPr>
          <w:p w:rsidR="00000000" w:rsidDel="00000000" w:rsidP="00000000" w:rsidRDefault="00000000" w:rsidRPr="00000000" w14:paraId="0000005B">
            <w:pPr>
              <w:spacing w:after="0" w:line="240" w:lineRule="auto"/>
              <w:jc w:val="center"/>
              <w:rPr>
                <w:rFonts w:ascii="Twinkl" w:cs="Twinkl" w:eastAsia="Twinkl" w:hAnsi="Twinkl"/>
                <w:b w:val="1"/>
              </w:rPr>
            </w:pPr>
            <w:r w:rsidDel="00000000" w:rsidR="00000000" w:rsidRPr="00000000">
              <w:rPr>
                <w:rFonts w:ascii="Twinkl" w:cs="Twinkl" w:eastAsia="Twinkl" w:hAnsi="Twinkl"/>
                <w:b w:val="1"/>
                <w:rtl w:val="0"/>
              </w:rPr>
              <w:t xml:space="preserve">AUTUMN</w:t>
            </w:r>
          </w:p>
        </w:tc>
        <w:tc>
          <w:tcPr>
            <w:shd w:fill="ffff99" w:val="clear"/>
            <w:vAlign w:val="center"/>
          </w:tcPr>
          <w:p w:rsidR="00000000" w:rsidDel="00000000" w:rsidP="00000000" w:rsidRDefault="00000000" w:rsidRPr="00000000" w14:paraId="0000005C">
            <w:pPr>
              <w:spacing w:after="0" w:line="240" w:lineRule="auto"/>
              <w:jc w:val="center"/>
              <w:rPr>
                <w:rFonts w:ascii="Twinkl" w:cs="Twinkl" w:eastAsia="Twinkl" w:hAnsi="Twinkl"/>
                <w:b w:val="1"/>
              </w:rPr>
            </w:pPr>
            <w:r w:rsidDel="00000000" w:rsidR="00000000" w:rsidRPr="00000000">
              <w:rPr>
                <w:rFonts w:ascii="Twinkl" w:cs="Twinkl" w:eastAsia="Twinkl" w:hAnsi="Twinkl"/>
                <w:b w:val="1"/>
                <w:rtl w:val="0"/>
              </w:rPr>
              <w:t xml:space="preserve">SPRING</w:t>
            </w:r>
          </w:p>
        </w:tc>
        <w:tc>
          <w:tcPr>
            <w:shd w:fill="ffff99" w:val="clear"/>
            <w:vAlign w:val="center"/>
          </w:tcPr>
          <w:p w:rsidR="00000000" w:rsidDel="00000000" w:rsidP="00000000" w:rsidRDefault="00000000" w:rsidRPr="00000000" w14:paraId="0000005D">
            <w:pPr>
              <w:spacing w:after="0" w:line="240" w:lineRule="auto"/>
              <w:jc w:val="center"/>
              <w:rPr>
                <w:rFonts w:ascii="Twinkl" w:cs="Twinkl" w:eastAsia="Twinkl" w:hAnsi="Twinkl"/>
                <w:b w:val="1"/>
              </w:rPr>
            </w:pPr>
            <w:r w:rsidDel="00000000" w:rsidR="00000000" w:rsidRPr="00000000">
              <w:rPr>
                <w:rFonts w:ascii="Twinkl" w:cs="Twinkl" w:eastAsia="Twinkl" w:hAnsi="Twinkl"/>
                <w:b w:val="1"/>
                <w:rtl w:val="0"/>
              </w:rPr>
              <w:t xml:space="preserve">SUMMER</w:t>
            </w:r>
          </w:p>
        </w:tc>
      </w:tr>
      <w:tr>
        <w:trPr>
          <w:trHeight w:val="680" w:hRule="atLeast"/>
        </w:trPr>
        <w:tc>
          <w:tcPr>
            <w:shd w:fill="ffff99" w:val="clear"/>
            <w:vAlign w:val="center"/>
          </w:tcPr>
          <w:p w:rsidR="00000000" w:rsidDel="00000000" w:rsidP="00000000" w:rsidRDefault="00000000" w:rsidRPr="00000000" w14:paraId="0000005E">
            <w:pPr>
              <w:spacing w:after="0" w:line="240" w:lineRule="auto"/>
              <w:rPr>
                <w:rFonts w:ascii="Twinkl" w:cs="Twinkl" w:eastAsia="Twinkl" w:hAnsi="Twinkl"/>
                <w:b w:val="1"/>
              </w:rPr>
            </w:pPr>
            <w:r w:rsidDel="00000000" w:rsidR="00000000" w:rsidRPr="00000000">
              <w:rPr>
                <w:rFonts w:ascii="Twinkl" w:cs="Twinkl" w:eastAsia="Twinkl" w:hAnsi="Twinkl"/>
                <w:b w:val="1"/>
                <w:rtl w:val="0"/>
              </w:rPr>
              <w:t xml:space="preserve">Statements Highlighted</w:t>
            </w:r>
          </w:p>
        </w:tc>
        <w:tc>
          <w:tcPr/>
          <w:p w:rsidR="00000000" w:rsidDel="00000000" w:rsidP="00000000" w:rsidRDefault="00000000" w:rsidRPr="00000000" w14:paraId="0000005F">
            <w:pPr>
              <w:spacing w:after="0" w:line="240" w:lineRule="auto"/>
              <w:rPr>
                <w:rFonts w:ascii="Twinkl" w:cs="Twinkl" w:eastAsia="Twinkl" w:hAnsi="Twinkl"/>
              </w:rPr>
            </w:pPr>
            <w:r w:rsidDel="00000000" w:rsidR="00000000" w:rsidRPr="00000000">
              <w:rPr>
                <w:rtl w:val="0"/>
              </w:rPr>
            </w:r>
          </w:p>
        </w:tc>
        <w:tc>
          <w:tcPr/>
          <w:p w:rsidR="00000000" w:rsidDel="00000000" w:rsidP="00000000" w:rsidRDefault="00000000" w:rsidRPr="00000000" w14:paraId="00000060">
            <w:pPr>
              <w:spacing w:after="0" w:line="240" w:lineRule="auto"/>
              <w:rPr>
                <w:rFonts w:ascii="Twinkl" w:cs="Twinkl" w:eastAsia="Twinkl" w:hAnsi="Twinkl"/>
                <w:b w:val="1"/>
              </w:rPr>
            </w:pPr>
            <w:r w:rsidDel="00000000" w:rsidR="00000000" w:rsidRPr="00000000">
              <w:rPr>
                <w:rtl w:val="0"/>
              </w:rPr>
            </w:r>
          </w:p>
        </w:tc>
        <w:tc>
          <w:tcPr/>
          <w:p w:rsidR="00000000" w:rsidDel="00000000" w:rsidP="00000000" w:rsidRDefault="00000000" w:rsidRPr="00000000" w14:paraId="00000061">
            <w:pPr>
              <w:spacing w:after="0" w:line="240" w:lineRule="auto"/>
              <w:rPr>
                <w:rFonts w:ascii="Twinkl" w:cs="Twinkl" w:eastAsia="Twinkl" w:hAnsi="Twinkl"/>
                <w:b w:val="1"/>
              </w:rPr>
            </w:pPr>
            <w:r w:rsidDel="00000000" w:rsidR="00000000" w:rsidRPr="00000000">
              <w:rPr>
                <w:rtl w:val="0"/>
              </w:rPr>
            </w:r>
          </w:p>
        </w:tc>
        <w:tc>
          <w:tcPr/>
          <w:p w:rsidR="00000000" w:rsidDel="00000000" w:rsidP="00000000" w:rsidRDefault="00000000" w:rsidRPr="00000000" w14:paraId="00000062">
            <w:pPr>
              <w:spacing w:after="0" w:line="240" w:lineRule="auto"/>
              <w:rPr>
                <w:rFonts w:ascii="Twinkl" w:cs="Twinkl" w:eastAsia="Twinkl" w:hAnsi="Twinkl"/>
                <w:b w:val="1"/>
              </w:rPr>
            </w:pPr>
            <w:r w:rsidDel="00000000" w:rsidR="00000000" w:rsidRPr="00000000">
              <w:rPr>
                <w:rtl w:val="0"/>
              </w:rPr>
            </w:r>
          </w:p>
        </w:tc>
      </w:tr>
      <w:tr>
        <w:trPr>
          <w:trHeight w:val="680" w:hRule="atLeast"/>
        </w:trPr>
        <w:tc>
          <w:tcPr>
            <w:shd w:fill="ffff99" w:val="clear"/>
            <w:vAlign w:val="center"/>
          </w:tcPr>
          <w:p w:rsidR="00000000" w:rsidDel="00000000" w:rsidP="00000000" w:rsidRDefault="00000000" w:rsidRPr="00000000" w14:paraId="00000063">
            <w:pPr>
              <w:spacing w:after="0" w:line="240" w:lineRule="auto"/>
              <w:rPr>
                <w:rFonts w:ascii="Twinkl" w:cs="Twinkl" w:eastAsia="Twinkl" w:hAnsi="Twinkl"/>
                <w:b w:val="1"/>
              </w:rPr>
            </w:pPr>
            <w:r w:rsidDel="00000000" w:rsidR="00000000" w:rsidRPr="00000000">
              <w:rPr>
                <w:rFonts w:ascii="Twinkl" w:cs="Twinkl" w:eastAsia="Twinkl" w:hAnsi="Twinkl"/>
                <w:b w:val="1"/>
                <w:rtl w:val="0"/>
              </w:rPr>
              <w:t xml:space="preserve">Banding</w:t>
            </w:r>
          </w:p>
        </w:tc>
        <w:tc>
          <w:tcPr/>
          <w:p w:rsidR="00000000" w:rsidDel="00000000" w:rsidP="00000000" w:rsidRDefault="00000000" w:rsidRPr="00000000" w14:paraId="00000064">
            <w:pPr>
              <w:spacing w:after="0" w:line="240" w:lineRule="auto"/>
              <w:rPr>
                <w:rFonts w:ascii="Twinkl" w:cs="Twinkl" w:eastAsia="Twinkl" w:hAnsi="Twinkl"/>
              </w:rPr>
            </w:pPr>
            <w:r w:rsidDel="00000000" w:rsidR="00000000" w:rsidRPr="00000000">
              <w:rPr>
                <w:rtl w:val="0"/>
              </w:rPr>
            </w:r>
          </w:p>
        </w:tc>
        <w:tc>
          <w:tcPr/>
          <w:p w:rsidR="00000000" w:rsidDel="00000000" w:rsidP="00000000" w:rsidRDefault="00000000" w:rsidRPr="00000000" w14:paraId="00000065">
            <w:pPr>
              <w:spacing w:after="0" w:line="240" w:lineRule="auto"/>
              <w:rPr>
                <w:rFonts w:ascii="Twinkl" w:cs="Twinkl" w:eastAsia="Twinkl" w:hAnsi="Twinkl"/>
                <w:b w:val="1"/>
              </w:rPr>
            </w:pPr>
            <w:r w:rsidDel="00000000" w:rsidR="00000000" w:rsidRPr="00000000">
              <w:rPr>
                <w:rtl w:val="0"/>
              </w:rPr>
            </w:r>
          </w:p>
        </w:tc>
        <w:tc>
          <w:tcPr/>
          <w:p w:rsidR="00000000" w:rsidDel="00000000" w:rsidP="00000000" w:rsidRDefault="00000000" w:rsidRPr="00000000" w14:paraId="00000066">
            <w:pPr>
              <w:spacing w:after="0" w:line="240" w:lineRule="auto"/>
              <w:rPr>
                <w:rFonts w:ascii="Twinkl" w:cs="Twinkl" w:eastAsia="Twinkl" w:hAnsi="Twinkl"/>
                <w:b w:val="1"/>
              </w:rPr>
            </w:pPr>
            <w:r w:rsidDel="00000000" w:rsidR="00000000" w:rsidRPr="00000000">
              <w:rPr>
                <w:rtl w:val="0"/>
              </w:rPr>
            </w:r>
          </w:p>
        </w:tc>
        <w:tc>
          <w:tcPr/>
          <w:p w:rsidR="00000000" w:rsidDel="00000000" w:rsidP="00000000" w:rsidRDefault="00000000" w:rsidRPr="00000000" w14:paraId="00000067">
            <w:pPr>
              <w:spacing w:after="0" w:line="240" w:lineRule="auto"/>
              <w:rPr>
                <w:rFonts w:ascii="Twinkl" w:cs="Twinkl" w:eastAsia="Twinkl" w:hAnsi="Twinkl"/>
                <w:b w:val="1"/>
              </w:rPr>
            </w:pPr>
            <w:r w:rsidDel="00000000" w:rsidR="00000000" w:rsidRPr="00000000">
              <w:rPr>
                <w:rtl w:val="0"/>
              </w:rPr>
            </w:r>
          </w:p>
        </w:tc>
      </w:tr>
    </w:tbl>
    <w:p w:rsidR="00000000" w:rsidDel="00000000" w:rsidP="00000000" w:rsidRDefault="00000000" w:rsidRPr="00000000" w14:paraId="00000068">
      <w:pPr>
        <w:tabs>
          <w:tab w:val="left" w:pos="8700"/>
        </w:tabs>
        <w:spacing w:after="0" w:lineRule="auto"/>
        <w:rPr/>
      </w:pPr>
      <w:r w:rsidDel="00000000" w:rsidR="00000000" w:rsidRPr="00000000">
        <w:rPr>
          <w:rtl w:val="0"/>
        </w:rPr>
      </w:r>
    </w:p>
    <w:tbl>
      <w:tblPr>
        <w:tblStyle w:val="Table4"/>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28"/>
        <w:tblGridChange w:id="0">
          <w:tblGrid>
            <w:gridCol w:w="10728"/>
          </w:tblGrid>
        </w:tblGridChange>
      </w:tblGrid>
      <w:tr>
        <w:tc>
          <w:tcPr>
            <w:shd w:fill="8db3e2" w:val="clear"/>
          </w:tcPr>
          <w:p w:rsidR="00000000" w:rsidDel="00000000" w:rsidP="00000000" w:rsidRDefault="00000000" w:rsidRPr="00000000" w14:paraId="00000069">
            <w:pPr>
              <w:rPr>
                <w:rFonts w:ascii="Twinkl" w:cs="Twinkl" w:eastAsia="Twinkl" w:hAnsi="Twinkl"/>
                <w:sz w:val="20"/>
                <w:szCs w:val="20"/>
              </w:rPr>
            </w:pPr>
            <w:r w:rsidDel="00000000" w:rsidR="00000000" w:rsidRPr="00000000">
              <w:rPr>
                <w:rFonts w:ascii="Twinkl" w:cs="Twinkl" w:eastAsia="Twinkl" w:hAnsi="Twinkl"/>
                <w:sz w:val="20"/>
                <w:szCs w:val="20"/>
                <w:rtl w:val="0"/>
              </w:rPr>
              <w:t xml:space="preserve">Word reading notes and guidance</w:t>
            </w:r>
          </w:p>
        </w:tc>
      </w:tr>
      <w:tr>
        <w:tc>
          <w:tcPr/>
          <w:p w:rsidR="00000000" w:rsidDel="00000000" w:rsidP="00000000" w:rsidRDefault="00000000" w:rsidRPr="00000000" w14:paraId="0000006A">
            <w:pPr>
              <w:numPr>
                <w:ilvl w:val="0"/>
                <w:numId w:val="2"/>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At this stage, there should be no need for further direct teaching of word-reading skills for almost all pupils. If pupils are struggling or failing in this, the reasons for this should be investigated. It is imperative that pupils are taught to read during their last two years at primary school if they enter year 5 not being able to do so. </w:t>
            </w:r>
          </w:p>
          <w:p w:rsidR="00000000" w:rsidDel="00000000" w:rsidP="00000000" w:rsidRDefault="00000000" w:rsidRPr="00000000" w14:paraId="0000006B">
            <w:pPr>
              <w:numPr>
                <w:ilvl w:val="0"/>
                <w:numId w:val="2"/>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Pupils should be encouraged to work out any unfamiliar words. They should focus on all the letters in a word so that they do not, for example, read ‘invitation’ for ‘imitation’ simply because they might be more familiar with the first word. Accurate reading of individual words, which might be key to the meaning of a sentence or paragraph, improves comprehension. </w:t>
            </w:r>
          </w:p>
          <w:p w:rsidR="00000000" w:rsidDel="00000000" w:rsidP="00000000" w:rsidRDefault="00000000" w:rsidRPr="00000000" w14:paraId="0000006C">
            <w:pPr>
              <w:numPr>
                <w:ilvl w:val="0"/>
                <w:numId w:val="2"/>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When teachers are reading with or to pupils, attention should be paid to new vocabulary – both a word’s meaning(s) and its correct pronunciation</w:t>
            </w:r>
            <w:r w:rsidDel="00000000" w:rsidR="00000000" w:rsidRPr="00000000">
              <w:rPr>
                <w:rtl w:val="0"/>
              </w:rPr>
            </w:r>
          </w:p>
        </w:tc>
      </w:tr>
      <w:tr>
        <w:tc>
          <w:tcPr>
            <w:shd w:fill="8db3e2" w:val="cle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Reading comprehension notes and guidance</w:t>
            </w:r>
          </w:p>
        </w:tc>
      </w:tr>
      <w:tr>
        <w:tc>
          <w:tcPr/>
          <w:p w:rsidR="00000000" w:rsidDel="00000000" w:rsidP="00000000" w:rsidRDefault="00000000" w:rsidRPr="00000000" w14:paraId="0000006E">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Even though pupils can now read independently, reading aloud to them should include whole books so that they meet books and authors that they might not choose to read themselves.</w:t>
            </w:r>
          </w:p>
          <w:p w:rsidR="00000000" w:rsidDel="00000000" w:rsidP="00000000" w:rsidRDefault="00000000" w:rsidRPr="00000000" w14:paraId="0000006F">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The knowledge and skills that pupils need in order to comprehend are very similar at different ages. Pupils should continue to apply what they have already learnt to more complex writing.</w:t>
            </w:r>
          </w:p>
          <w:p w:rsidR="00000000" w:rsidDel="00000000" w:rsidP="00000000" w:rsidRDefault="00000000" w:rsidRPr="00000000" w14:paraId="00000070">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Pupils should be taught to recognise themes in what they read, such as loss or heroism. They should have opportunities to compare characters, consider different accounts of the same event and discuss viewpoints (both of authors and of fictional characters), within a text and across more than 1 text.</w:t>
            </w:r>
          </w:p>
          <w:p w:rsidR="00000000" w:rsidDel="00000000" w:rsidP="00000000" w:rsidRDefault="00000000" w:rsidRPr="00000000" w14:paraId="00000071">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They should continue to learn the conventions of different types of writing, such as the use of the first person in writing diaries and autobiographies.</w:t>
            </w:r>
          </w:p>
          <w:p w:rsidR="00000000" w:rsidDel="00000000" w:rsidP="00000000" w:rsidRDefault="00000000" w:rsidRPr="00000000" w14:paraId="00000072">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Pupils should be taught the technical and other terms needed for discussing what they hear and read, such as metaphor, simile, analogy, imagery, style and effect.</w:t>
            </w:r>
          </w:p>
          <w:p w:rsidR="00000000" w:rsidDel="00000000" w:rsidP="00000000" w:rsidRDefault="00000000" w:rsidRPr="00000000" w14:paraId="00000073">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In using reference books, pupils need to know what information they need to look for before they begin and need to understand the task. They should be shown how to use contents pages and indexes to locate information.</w:t>
            </w:r>
          </w:p>
          <w:p w:rsidR="00000000" w:rsidDel="00000000" w:rsidP="00000000" w:rsidRDefault="00000000" w:rsidRPr="00000000" w14:paraId="00000074">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The skills of information retrieval that are taught should be applied, for example in reading history, geography and science textbooks, and in contexts where pupils are genuinely motivated to find out information [for example, reading information leaflets before a gallery or museum visit or reading a theatre programme or review]. Teachers should consider making use of any library services and expertise to support this.</w:t>
            </w:r>
          </w:p>
          <w:p w:rsidR="00000000" w:rsidDel="00000000" w:rsidP="00000000" w:rsidRDefault="00000000" w:rsidRPr="00000000" w14:paraId="00000075">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Pupils should have guidance about and feedback on the quality of their explanations and contributions to discussions.</w:t>
            </w:r>
          </w:p>
          <w:p w:rsidR="00000000" w:rsidDel="00000000" w:rsidP="00000000" w:rsidRDefault="00000000" w:rsidRPr="00000000" w14:paraId="00000076">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Pupils should be shown how to compare characters, settings, themes and other aspects of what they read.</w:t>
            </w:r>
          </w:p>
        </w:tc>
      </w:tr>
    </w:tbl>
    <w:p w:rsidR="00000000" w:rsidDel="00000000" w:rsidP="00000000" w:rsidRDefault="00000000" w:rsidRPr="00000000" w14:paraId="00000077">
      <w:pPr>
        <w:spacing w:after="0" w:lineRule="auto"/>
        <w:rPr/>
      </w:pPr>
      <w:r w:rsidDel="00000000" w:rsidR="00000000" w:rsidRPr="00000000">
        <w:rPr>
          <w:rtl w:val="0"/>
        </w:rPr>
      </w:r>
    </w:p>
    <w:tbl>
      <w:tblPr>
        <w:tblStyle w:val="Table5"/>
        <w:tblW w:w="1075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2689"/>
        <w:gridCol w:w="2689"/>
        <w:gridCol w:w="2690"/>
        <w:tblGridChange w:id="0">
          <w:tblGrid>
            <w:gridCol w:w="2689"/>
            <w:gridCol w:w="2689"/>
            <w:gridCol w:w="2689"/>
            <w:gridCol w:w="2690"/>
          </w:tblGrid>
        </w:tblGridChange>
      </w:tblGrid>
      <w:tr>
        <w:trPr>
          <w:trHeight w:val="260" w:hRule="atLeast"/>
        </w:trPr>
        <w:tc>
          <w:tcPr>
            <w:gridSpan w:val="4"/>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78">
            <w:pPr>
              <w:rPr>
                <w:rFonts w:ascii="Twinkl" w:cs="Twinkl" w:eastAsia="Twinkl" w:hAnsi="Twinkl"/>
                <w:b w:val="1"/>
              </w:rPr>
            </w:pPr>
            <w:r w:rsidDel="00000000" w:rsidR="00000000" w:rsidRPr="00000000">
              <w:rPr>
                <w:rFonts w:ascii="Twinkl" w:cs="Twinkl" w:eastAsia="Twinkl" w:hAnsi="Twinkl"/>
                <w:b w:val="1"/>
                <w:rtl w:val="0"/>
              </w:rPr>
              <w:t xml:space="preserve">Banding guidance</w:t>
            </w:r>
          </w:p>
        </w:tc>
      </w:tr>
      <w:tr>
        <w:trPr>
          <w:trHeight w:val="86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C">
            <w:pPr>
              <w:rPr>
                <w:rFonts w:ascii="Twinkl" w:cs="Twinkl" w:eastAsia="Twinkl" w:hAnsi="Twink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D">
            <w:pPr>
              <w:jc w:val="center"/>
              <w:rPr>
                <w:rFonts w:ascii="Twinkl" w:cs="Twinkl" w:eastAsia="Twinkl" w:hAnsi="Twinkl"/>
              </w:rPr>
            </w:pPr>
            <w:r w:rsidDel="00000000" w:rsidR="00000000" w:rsidRPr="00000000">
              <w:rPr>
                <w:rFonts w:ascii="Twinkl" w:cs="Twinkl" w:eastAsia="Twinkl" w:hAnsi="Twinkl"/>
                <w:b w:val="1"/>
                <w:rtl w:val="0"/>
              </w:rPr>
              <w:t xml:space="preserve">Working Towards the Expected Standard</w:t>
            </w:r>
            <w:r w:rsidDel="00000000" w:rsidR="00000000" w:rsidRPr="00000000">
              <w:rPr>
                <w:rFonts w:ascii="Twinkl" w:cs="Twinkl" w:eastAsia="Twinkl" w:hAnsi="Twinkl"/>
                <w:rtl w:val="0"/>
              </w:rPr>
              <w:t xml:space="preserve"> (WTS)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E">
            <w:pPr>
              <w:jc w:val="center"/>
              <w:rPr>
                <w:rFonts w:ascii="Twinkl" w:cs="Twinkl" w:eastAsia="Twinkl" w:hAnsi="Twinkl"/>
                <w:b w:val="1"/>
              </w:rPr>
            </w:pPr>
            <w:r w:rsidDel="00000000" w:rsidR="00000000" w:rsidRPr="00000000">
              <w:rPr>
                <w:rFonts w:ascii="Twinkl" w:cs="Twinkl" w:eastAsia="Twinkl" w:hAnsi="Twinkl"/>
                <w:b w:val="1"/>
                <w:rtl w:val="0"/>
              </w:rPr>
              <w:t xml:space="preserve">Working at the Expected Standard</w:t>
            </w:r>
          </w:p>
          <w:p w:rsidR="00000000" w:rsidDel="00000000" w:rsidP="00000000" w:rsidRDefault="00000000" w:rsidRPr="00000000" w14:paraId="0000007F">
            <w:pPr>
              <w:jc w:val="center"/>
              <w:rPr>
                <w:rFonts w:ascii="Twinkl" w:cs="Twinkl" w:eastAsia="Twinkl" w:hAnsi="Twinkl"/>
              </w:rPr>
            </w:pPr>
            <w:r w:rsidDel="00000000" w:rsidR="00000000" w:rsidRPr="00000000">
              <w:rPr>
                <w:rFonts w:ascii="Twinkl" w:cs="Twinkl" w:eastAsia="Twinkl" w:hAnsi="Twinkl"/>
                <w:rtl w:val="0"/>
              </w:rPr>
              <w:t xml:space="preserve">(EXS)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0">
            <w:pPr>
              <w:jc w:val="center"/>
              <w:rPr>
                <w:rFonts w:ascii="Twinkl" w:cs="Twinkl" w:eastAsia="Twinkl" w:hAnsi="Twinkl"/>
                <w:b w:val="1"/>
              </w:rPr>
            </w:pPr>
            <w:r w:rsidDel="00000000" w:rsidR="00000000" w:rsidRPr="00000000">
              <w:rPr>
                <w:rFonts w:ascii="Twinkl" w:cs="Twinkl" w:eastAsia="Twinkl" w:hAnsi="Twinkl"/>
                <w:b w:val="1"/>
                <w:rtl w:val="0"/>
              </w:rPr>
              <w:t xml:space="preserve">Working at Greater Depth</w:t>
            </w:r>
          </w:p>
          <w:p w:rsidR="00000000" w:rsidDel="00000000" w:rsidP="00000000" w:rsidRDefault="00000000" w:rsidRPr="00000000" w14:paraId="00000081">
            <w:pPr>
              <w:jc w:val="center"/>
              <w:rPr>
                <w:rFonts w:ascii="Twinkl" w:cs="Twinkl" w:eastAsia="Twinkl" w:hAnsi="Twinkl"/>
              </w:rPr>
            </w:pPr>
            <w:r w:rsidDel="00000000" w:rsidR="00000000" w:rsidRPr="00000000">
              <w:rPr>
                <w:rFonts w:ascii="Twinkl" w:cs="Twinkl" w:eastAsia="Twinkl" w:hAnsi="Twinkl"/>
                <w:rtl w:val="0"/>
              </w:rPr>
              <w:t xml:space="preserve">(GDS)</w:t>
            </w:r>
          </w:p>
        </w:tc>
      </w:tr>
      <w:tr>
        <w:trPr>
          <w:trHeight w:val="7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2">
            <w:pPr>
              <w:jc w:val="center"/>
              <w:rPr>
                <w:rFonts w:ascii="Twinkl" w:cs="Twinkl" w:eastAsia="Twinkl" w:hAnsi="Twinkl"/>
              </w:rPr>
            </w:pPr>
            <w:r w:rsidDel="00000000" w:rsidR="00000000" w:rsidRPr="00000000">
              <w:rPr>
                <w:rFonts w:ascii="Twinkl" w:cs="Twinkl" w:eastAsia="Twinkl" w:hAnsi="Twinkl"/>
                <w:b w:val="1"/>
                <w:sz w:val="28"/>
                <w:szCs w:val="28"/>
                <w:rtl w:val="0"/>
              </w:rPr>
              <w:t xml:space="preserve">Assessment</w:t>
            </w:r>
            <w:r w:rsidDel="00000000" w:rsidR="00000000" w:rsidRPr="00000000">
              <w:rPr>
                <w:rtl w:val="0"/>
              </w:rPr>
            </w:r>
          </w:p>
          <w:p w:rsidR="00000000" w:rsidDel="00000000" w:rsidP="00000000" w:rsidRDefault="00000000" w:rsidRPr="00000000" w14:paraId="00000083">
            <w:pPr>
              <w:jc w:val="center"/>
              <w:rPr>
                <w:rFonts w:ascii="Twinkl" w:cs="Twinkl" w:eastAsia="Twinkl" w:hAnsi="Twinkl"/>
              </w:rPr>
            </w:pPr>
            <w:r w:rsidDel="00000000" w:rsidR="00000000" w:rsidRPr="00000000">
              <w:rPr>
                <w:rFonts w:ascii="Twinkl" w:cs="Twinkl" w:eastAsia="Twinkl" w:hAnsi="Twinkl"/>
                <w:rtl w:val="0"/>
              </w:rPr>
              <w:t xml:space="preserve">(Out of 22)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4">
            <w:pPr>
              <w:jc w:val="center"/>
              <w:rPr>
                <w:rFonts w:ascii="Twinkl" w:cs="Twinkl" w:eastAsia="Twinkl" w:hAnsi="Twinkl"/>
                <w:sz w:val="40"/>
                <w:szCs w:val="40"/>
              </w:rPr>
            </w:pPr>
            <w:r w:rsidDel="00000000" w:rsidR="00000000" w:rsidRPr="00000000">
              <w:rPr>
                <w:rFonts w:ascii="Twinkl" w:cs="Twinkl" w:eastAsia="Twinkl" w:hAnsi="Twinkl"/>
                <w:sz w:val="40"/>
                <w:szCs w:val="40"/>
                <w:rtl w:val="0"/>
              </w:rPr>
              <w:t xml:space="preserve">4-10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5">
            <w:pPr>
              <w:jc w:val="center"/>
              <w:rPr>
                <w:rFonts w:ascii="Twinkl" w:cs="Twinkl" w:eastAsia="Twinkl" w:hAnsi="Twinkl"/>
                <w:sz w:val="40"/>
                <w:szCs w:val="40"/>
              </w:rPr>
            </w:pPr>
            <w:r w:rsidDel="00000000" w:rsidR="00000000" w:rsidRPr="00000000">
              <w:rPr>
                <w:rFonts w:ascii="Twinkl" w:cs="Twinkl" w:eastAsia="Twinkl" w:hAnsi="Twinkl"/>
                <w:sz w:val="40"/>
                <w:szCs w:val="40"/>
                <w:rtl w:val="0"/>
              </w:rPr>
              <w:t xml:space="preserve">11-16</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6">
            <w:pPr>
              <w:jc w:val="center"/>
              <w:rPr>
                <w:rFonts w:ascii="Twinkl" w:cs="Twinkl" w:eastAsia="Twinkl" w:hAnsi="Twinkl"/>
                <w:sz w:val="40"/>
                <w:szCs w:val="40"/>
              </w:rPr>
            </w:pPr>
            <w:r w:rsidDel="00000000" w:rsidR="00000000" w:rsidRPr="00000000">
              <w:rPr>
                <w:rFonts w:ascii="Twinkl" w:cs="Twinkl" w:eastAsia="Twinkl" w:hAnsi="Twinkl"/>
                <w:sz w:val="40"/>
                <w:szCs w:val="40"/>
                <w:rtl w:val="0"/>
              </w:rPr>
              <w:t xml:space="preserve">17-22</w:t>
            </w:r>
          </w:p>
        </w:tc>
      </w:tr>
      <w:tr>
        <w:trPr>
          <w:trHeight w:val="148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rPr>
                <w:rFonts w:ascii="Twinkl" w:cs="Twinkl" w:eastAsia="Twinkl" w:hAnsi="Twinkl"/>
              </w:rPr>
            </w:pPr>
            <w:r w:rsidDel="00000000" w:rsidR="00000000" w:rsidRPr="00000000">
              <w:rPr>
                <w:rFonts w:ascii="Twinkl" w:cs="Twinkl" w:eastAsia="Twinkl" w:hAnsi="Twinkl"/>
                <w:rtl w:val="0"/>
              </w:rPr>
              <w:t xml:space="preserve">Pl</w:t>
            </w:r>
            <w:r w:rsidDel="00000000" w:rsidR="00000000" w:rsidRPr="00000000">
              <w:rPr>
                <w:rFonts w:ascii="Twinkl" w:cs="Twinkl" w:eastAsia="Twinkl" w:hAnsi="Twinkl"/>
                <w:rtl w:val="0"/>
              </w:rPr>
              <w:t xml:space="preserve">ease use the following codes when recording bandings:</w:t>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1"/>
                <w:i w:val="0"/>
                <w:smallCaps w:val="0"/>
                <w:strike w:val="0"/>
                <w:color w:val="000000"/>
                <w:sz w:val="22"/>
                <w:szCs w:val="22"/>
                <w:u w:val="none"/>
                <w:shd w:fill="auto" w:val="clear"/>
                <w:vertAlign w:val="baseline"/>
                <w:rtl w:val="0"/>
              </w:rPr>
              <w:t xml:space="preserve">WTS</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 for children who are working at the expected standard.</w:t>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1"/>
                <w:i w:val="0"/>
                <w:smallCaps w:val="0"/>
                <w:strike w:val="0"/>
                <w:color w:val="000000"/>
                <w:sz w:val="22"/>
                <w:szCs w:val="22"/>
                <w:u w:val="none"/>
                <w:shd w:fill="auto" w:val="clear"/>
                <w:vertAlign w:val="baseline"/>
                <w:rtl w:val="0"/>
              </w:rPr>
              <w:t xml:space="preserve">EXS</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 for children who are working at the expected standard.</w:t>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1"/>
                <w:i w:val="0"/>
                <w:smallCaps w:val="0"/>
                <w:strike w:val="0"/>
                <w:color w:val="000000"/>
                <w:sz w:val="22"/>
                <w:szCs w:val="22"/>
                <w:u w:val="none"/>
                <w:shd w:fill="auto" w:val="clear"/>
                <w:vertAlign w:val="baseline"/>
                <w:rtl w:val="0"/>
              </w:rPr>
              <w:t xml:space="preserve">GDS </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for children who are working at greater depth.</w:t>
            </w:r>
          </w:p>
        </w:tc>
      </w:tr>
    </w:tbl>
    <w:p w:rsidR="00000000" w:rsidDel="00000000" w:rsidP="00000000" w:rsidRDefault="00000000" w:rsidRPr="00000000" w14:paraId="0000008E">
      <w:pPr>
        <w:rPr/>
      </w:pPr>
      <w:r w:rsidDel="00000000" w:rsidR="00000000" w:rsidRPr="00000000">
        <w:rPr>
          <w:rtl w:val="0"/>
        </w:rPr>
      </w:r>
    </w:p>
    <w:sectPr>
      <w:headerReference r:id="rId6" w:type="default"/>
      <w:footerReference r:id="rId7" w:type="default"/>
      <w:footerReference r:id="rId8" w:type="even"/>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Twink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tabs>
        <w:tab w:val="center" w:pos="4513"/>
        <w:tab w:val="right" w:pos="9026"/>
      </w:tabs>
      <w:spacing w:after="0" w:line="240" w:lineRule="auto"/>
      <w:jc w:val="center"/>
      <w:rPr>
        <w:rFonts w:ascii="Twinkl" w:cs="Twinkl" w:eastAsia="Twinkl" w:hAnsi="Twinkl"/>
        <w:b w:val="0"/>
        <w:i w:val="0"/>
        <w:smallCaps w:val="0"/>
        <w:strike w:val="0"/>
        <w:color w:val="000000"/>
        <w:sz w:val="20"/>
        <w:szCs w:val="20"/>
        <w:u w:val="none"/>
        <w:shd w:fill="auto" w:val="clear"/>
        <w:vertAlign w:val="baseline"/>
      </w:rPr>
    </w:pPr>
    <w:r w:rsidDel="00000000" w:rsidR="00000000" w:rsidRPr="00000000">
      <w:rPr>
        <w:rFonts w:ascii="Twinkl" w:cs="Twinkl" w:eastAsia="Twinkl" w:hAnsi="Twinkl"/>
      </w:rPr>
      <w:drawing>
        <wp:inline distB="114300" distT="114300" distL="114300" distR="114300">
          <wp:extent cx="1219200" cy="816528"/>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19200" cy="816528"/>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1221581" cy="814388"/>
          <wp:effectExtent b="0" l="0" r="0" t="0"/>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221581" cy="814388"/>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576263" cy="818293"/>
          <wp:effectExtent b="0" l="0" r="0" t="0"/>
          <wp:docPr id="2"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576263" cy="818293"/>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585788" cy="820103"/>
          <wp:effectExtent b="0" l="0" r="0" t="0"/>
          <wp:docPr id="4"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585788" cy="820103"/>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1221581" cy="814388"/>
          <wp:effectExtent b="0" l="0" r="0" t="0"/>
          <wp:docPr id="1"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1221581" cy="814388"/>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1209675" cy="825292"/>
          <wp:effectExtent b="0" l="0" r="0" t="0"/>
          <wp:docPr id="6"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209675" cy="825292"/>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Stebbing Primary School </w:t>
    </w:r>
    <w:r w:rsidDel="00000000" w:rsidR="00000000" w:rsidRPr="00000000">
      <w:rPr>
        <w:rFonts w:ascii="Twinkl" w:cs="Twinkl" w:eastAsia="Twinkl" w:hAnsi="Twinkl"/>
        <w:rtl w:val="0"/>
      </w:rPr>
      <w:t xml:space="preserve">Reading </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Assessment Framework</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STEBBING PRIMARY SCHOOL – BAND </w:t>
    </w:r>
    <w:r w:rsidDel="00000000" w:rsidR="00000000" w:rsidRPr="00000000">
      <w:rPr>
        <w:rFonts w:ascii="Twinkl" w:cs="Twinkl" w:eastAsia="Twinkl" w:hAnsi="Twinkl"/>
        <w:rtl w:val="0"/>
      </w:rPr>
      <w:t xml:space="preserve">6</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w:t>
    </w:r>
    <w:r w:rsidDel="00000000" w:rsidR="00000000" w:rsidRPr="00000000">
      <w:rPr>
        <w:rFonts w:ascii="Twinkl" w:cs="Twinkl" w:eastAsia="Twinkl" w:hAnsi="Twinkl"/>
        <w:rtl w:val="0"/>
      </w:rPr>
      <w:t xml:space="preserve">READING</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ASSESSMENT</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Pupil Name</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Year Group …………..      Assessment Year……………………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5.png"/><Relationship Id="rId4" Type="http://schemas.openxmlformats.org/officeDocument/2006/relationships/image" Target="media/image4.png"/><Relationship Id="rId5" Type="http://schemas.openxmlformats.org/officeDocument/2006/relationships/image" Target="media/image3.png"/><Relationship Id="rId6"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