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6.9739961759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100"/>
        <w:gridCol w:w="2010"/>
        <w:gridCol w:w="2307.9934990439774"/>
        <w:gridCol w:w="2307.9934990439774"/>
        <w:gridCol w:w="2307.9934990439774"/>
        <w:gridCol w:w="2307.9934990439774"/>
        <w:tblGridChange w:id="0">
          <w:tblGrid>
            <w:gridCol w:w="1485"/>
            <w:gridCol w:w="2100"/>
            <w:gridCol w:w="2010"/>
            <w:gridCol w:w="2307.9934990439774"/>
            <w:gridCol w:w="2307.9934990439774"/>
            <w:gridCol w:w="2307.9934990439774"/>
            <w:gridCol w:w="2307.9934990439774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2"/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2"/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Art &amp;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Materials: pattern, texture and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Drawing: line and shape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Painting: colour and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Sculpting:  texture, technique and form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Artists: differences and similarities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Using the internet and E-safety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Information technology in our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Magical storytelling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Magical storytelling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Bee-bots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Bee-bots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Design &amp; Technology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Food &amp; Nutrition: Pizzas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Mechanisms or Structures: Vehicles (Axels, wheels and chassis)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Textiles: Hand Puppets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Geography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The UK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 Where we live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Comparing UK and non-European country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 the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Changes beyond living memory- </w:t>
            </w: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Travel and transport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Local significant historical people, places and event-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Stansted Castle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Significant individuals-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Explorers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Greetings/How are you?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0-20 in context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Pets/Animals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Classroom items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Days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0-20 in context (numbers of things)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Parts of the 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Months of the year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Food/fruit/drinks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Jungle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Winter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Dodgeball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Ball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Multi-Skills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Three Tees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Athletics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Athletics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PSHE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Lifestyles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Healthy choices; different feelings; managing feelings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Growing and Changing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Recognising what they are good at; setting goals. Growing; changing and being more independent; correct names for body parts (including external genitalia)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Keeping Safe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Keeping safe in different situations; how to ask for help if they are worried about something; privacy in different contexts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Rights and Responsibilities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Group and class rules; respecting their own needs and others’ needs; groups and communities they belong to; people who work in the community; getting help in an emergency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Environment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Looking after the local environment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Money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Where money comes from; saving and spending money; making choices; keeping track of money spent/saved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Feelings and emotions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Behaviour; bodies and feelings can be hurt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Relationships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Listening to others and playing cooperatively; appropriate and inappropriate touch; teasing and bullying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Valuing difference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Respecting similarities and differences in others; sharing views and ideas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Religious Education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Special people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Special symbols and objects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Special ways of living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Seasonal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Living things and their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Focus on Earth and Space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center"/>
      <w:rPr>
        <w:rFonts w:ascii="Didact Gothic" w:cs="Didact Gothic" w:eastAsia="Didact Gothic" w:hAnsi="Didact Gothic"/>
        <w:b w:val="1"/>
        <w:sz w:val="28"/>
        <w:szCs w:val="28"/>
        <w:u w:val="single"/>
      </w:rPr>
    </w:pPr>
    <w:r w:rsidDel="00000000" w:rsidR="00000000" w:rsidRPr="00000000">
      <w:rPr>
        <w:rFonts w:ascii="Didact Gothic" w:cs="Didact Gothic" w:eastAsia="Didact Gothic" w:hAnsi="Didact Gothic"/>
        <w:b w:val="1"/>
        <w:sz w:val="28"/>
        <w:szCs w:val="28"/>
        <w:u w:val="single"/>
        <w:rtl w:val="0"/>
      </w:rPr>
      <w:t xml:space="preserve">Stebbing Primary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1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2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>
        <w:rFonts w:ascii="Didact Gothic" w:cs="Didact Gothic" w:eastAsia="Didact Gothic" w:hAnsi="Didact Gothic"/>
        <w:sz w:val="36"/>
        <w:szCs w:val="36"/>
        <w:rtl w:val="0"/>
      </w:rPr>
      <w:t xml:space="preserve">Year 2 Curriculum Overview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